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SAMPLE SPENDTHRIFT CLAUSE</w:t>
      </w:r>
    </w:p>
    <w:p>
      <w:r>
        <w:rPr>
          <w:b w:val="0"/>
        </w:rPr>
        <w:t>[Use this clause in a third-party irrevocable trust, meaning a trust created and funded by someone other than the beneficiary. Conform the capitalized terms ("Agreement," "Trustee," "Beneficiary") to the trust instrument's defined terms.]</w:t>
      </w:r>
    </w:p>
    <w:p>
      <w:r>
        <w:rPr>
          <w:b/>
        </w:rPr>
        <w:t>Spendthrift Provision.</w:t>
      </w:r>
      <w:r>
        <w:rPr>
          <w:b w:val="0"/>
        </w:rPr>
        <w:t xml:space="preserve"> No Beneficiary may anticipate, assign, sell, pledge, encumber, or otherwise voluntarily transfer any interest in the income or principal of any trust created under this Agreement. No creditor or assignee of any Beneficiary may attach, garnish, execute upon, or otherwise reach by any legal or equitable process any interest of any Beneficiary in the income or principal of any trust created under this Agreement, or any distribution by the Trustee, before the Beneficiary actually receives the interest or distribution. Each Beneficiary's interest shall be held subject to a spendthrift trust to the fullest extent permitted by law, and this provision restrains both the voluntary and the involuntary transfer of each Beneficiary's interest. This provision does not limit the exercise of any power of appointment granted under this Agreement.</w:t>
      </w:r>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