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SAMPLE TRUST GOVERNING LAW CLAUSE</w:t>
      </w:r>
    </w:p>
    <w:p>
      <w:r>
        <w:rPr>
          <w:b/>
          <w:i w:val="0"/>
        </w:rPr>
        <w:t>Governing Law; Situs.</w:t>
      </w:r>
      <w:r>
        <w:rPr>
          <w:b w:val="0"/>
          <w:i w:val="0"/>
        </w:rPr>
        <w:t xml:space="preserve"> The laws of [name of jurisdiction] shall govern the validity, construction, and administration of this Trust and the meaning and effect of its terms, and [name of jurisdiction] shall be the initial situs of this Trust and the initial place of its administration. The Settlor designates that law because the Trustee maintains its office in [name of jurisdiction] and administers this Trust there [add any other connection, such as the residence of a Beneficiary or the location of property held by this Trust]. If a court of competent jurisdiction declines to apply the designated law to a particular question concerning this Trust, that designation shall continue to govern every other question, and the remaining terms of this Trust shall be given effect to the fullest extent the applicable law permits.</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Trust Governing Law Clause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